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image/svg+xml" Extension="svg"/>
  <Default ContentType="application/vnd.openxmlformats-package.relationships+xml" Extension="rels"/>
  <Default ContentType="application/xml" Extension="xml"/>
  <Default ContentType="application/vnd.openxmlformats-officedocument.obfuscatedFont" Extension="odttf"/>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Override ContentType="application/vnd.openxmlformats-officedocument.wordprocessingml.fontTable+xml" PartName="/word/fontTable.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200"/>
        <w:jc w:val="center"/>
      </w:pPr>
      <w:r>
        <w:drawing>
          <wp:inline distT="0" distB="0" distL="0" distR="0">
            <wp:extent cx="1905000" cy="1333500"/>
            <wp:effectExtent t="0" r="0" b="0" l="0"/>
            <wp:docPr id="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 cstate="none"/>
                    <a:srcRect/>
                    <a:stretch>
                      <a:fillRect/>
                    </a:stretch>
                  </pic:blipFill>
                  <pic:spPr bwMode="auto">
                    <a:xfrm>
                      <a:off x="0" y="0"/>
                      <a:ext cx="1905000" cy="1333500"/>
                    </a:xfrm>
                    <a:prstGeom prst="rect">
                      <a:avLst/>
                    </a:prstGeom>
                  </pic:spPr>
                </pic:pic>
              </a:graphicData>
            </a:graphic>
          </wp:inline>
        </w:drawing>
      </w:r>
    </w:p>
    <w:p>
      <w:pPr>
        <w:spacing w:after="100"/>
        <w:jc w:val="center"/>
      </w:pPr>
      <w:r>
        <w:rPr>
          <w:rFonts w:ascii="Calibri" w:cs="Calibri" w:eastAsia="Calibri" w:hAnsi="Calibri"/>
          <w:b/>
          <w:bCs/>
          <w:caps/>
          <w:color w:val="8B1A1A"/>
          <w:sz w:val="18"/>
          <w:szCs w:val="18"/>
        </w:rPr>
        <w:t xml:space="preserve">PRESSEMITTEILUNG</w:t>
      </w:r>
    </w:p>
    <w:p>
      <w:pPr>
        <w:spacing w:after="200"/>
        <w:jc w:val="center"/>
      </w:pPr>
      <w:r>
        <w:rPr>
          <w:rFonts w:ascii="Georgia" w:cs="Georgia" w:eastAsia="Georgia" w:hAnsi="Georgia"/>
          <w:b/>
          <w:bCs/>
          <w:color w:val="1B2A5B"/>
          <w:sz w:val="32"/>
          <w:szCs w:val="32"/>
        </w:rPr>
        <w:t xml:space="preserve">LawCodex startet offiziell seine Plattform für künstliche Intelligenz im Rechtsbereich in der Schweiz am 5. März 2026</w:t>
      </w:r>
    </w:p>
    <w:p>
      <w:pPr>
        <w:spacing w:after="300"/>
        <w:jc w:val="center"/>
      </w:pPr>
      <w:r>
        <w:rPr>
          <w:rFonts w:ascii="Calibri" w:cs="Calibri" w:eastAsia="Calibri" w:hAnsi="Calibri"/>
          <w:i/>
          <w:iCs/>
          <w:color w:val="6B7280"/>
          <w:sz w:val="22"/>
          <w:szCs w:val="22"/>
        </w:rPr>
        <w:t xml:space="preserve">Die erste Schweizer Plattform, die KI und Recht vereint, um Gerechtigkeit für alle zugänglich zu machen — Privatpersonen, Fachleute und Unternehmen.</w:t>
      </w:r>
    </w:p>
    <w:p>
      <w:pPr>
        <w:pBdr>
          <w:bottom w:val="single" w:color="8B1A1A" w:sz="6"/>
        </w:pBdr>
        <w:shd w:color="F3F4F6" w:val="solid"/>
        <w:spacing w:after="300"/>
        <w:jc w:val="center"/>
      </w:pPr>
      <w:r>
        <w:rPr>
          <w:rFonts w:ascii="Calibri" w:cs="Calibri" w:eastAsia="Calibri" w:hAnsi="Calibri"/>
          <w:b/>
          <w:bCs/>
          <w:color w:val="1B2A5B"/>
          <w:sz w:val="20"/>
          <w:szCs w:val="20"/>
        </w:rPr>
        <w:t xml:space="preserve">Zur Veröffentlichung — Donnerstag, 5. März 2026 um 12:30 Uhr</w:t>
      </w:r>
      <w:r>
        <w:rPr>
          <w:rFonts w:ascii="Calibri" w:cs="Calibri" w:eastAsia="Calibri" w:hAnsi="Calibri"/>
          <w:color w:val="6B7280"/>
          <w:sz w:val="20"/>
          <w:szCs w:val="20"/>
        </w:rPr>
        <w:t xml:space="preserve">  |  Schweiz, 3. März 2026</w:t>
      </w:r>
    </w:p>
    <w:p>
      <w:pPr>
        <w:pBdr>
          <w:bottom w:val="single" w:color="E5E7EB" w:sz="1"/>
        </w:pBdr>
        <w:spacing w:after="300"/>
      </w:pPr>
      <w:r>
        <w:rPr>
          <w:b/>
          <w:bCs/>
        </w:rPr>
        <w:t xml:space="preserve">Schweiz, 3. März 2026</w:t>
      </w:r>
      <w:r>
        <w:t xml:space="preserve"> — LawCodex, eine SaaS-Plattform für künstliche Intelligenz im Rechtsbereich, gibt ihren offiziellen Start am </w:t>
      </w:r>
      <w:r>
        <w:rPr>
          <w:b/>
          <w:bCs/>
        </w:rPr>
        <w:t xml:space="preserve">Mittwoch, 5. März 2026 um 12:30 Uhr</w:t>
      </w:r>
      <w:r>
        <w:t xml:space="preserve"> bekannt. Die in der Schweiz entwickelte Plattform hat das Ziel, den Zugang zum Recht grundlegend zu verändern, indem sie modernste Technologien — semantische Suche, prädiktive Analyse, natürliche Sprachverarbeitung — mit einer rechtlichen Abdeckung der Schweiz, Frankreichs, der Europäischen Union und mehrerer internationaler Rechtsordnungen kombiniert.</w:t>
      </w:r>
    </w:p>
    <w:p>
      <w:pPr>
        <w:pStyle w:val="Heading2"/>
      </w:pPr>
      <w:r>
        <w:t xml:space="preserve">Eine Plattform, geboren aus einem persönlichen Kampf</w:t>
      </w:r>
    </w:p>
    <w:p>
      <w:r>
        <w:t xml:space="preserve">Die Geschichte von LawCodex ist zutiefst menschlich. Ihr Gründer, </w:t>
      </w:r>
      <w:r>
        <w:rPr>
          <w:b/>
          <w:bCs/>
        </w:rPr>
        <w:t xml:space="preserve">Steven Hori</w:t>
      </w:r>
      <w:r>
        <w:t xml:space="preserve">, ist kein Jurist. Er ist ein Vater. 2021, konfrontiert mit der internationalen Entführung seiner Tochter aus der Schweiz ins Ausland, stand er allein einem komplexen und einschüchternden Justizsystem gegenüber und musste einen Rechtsstreit über mehrere Länder hinweg führen. Weitere Infos: bringkimhome.ch.</w:t>
      </w:r>
    </w:p>
    <w:p>
      <w:r>
        <w:t xml:space="preserve">Aus dieser Prüfung entstand eine Überzeugung: </w:t>
      </w:r>
      <w:r>
        <w:rPr>
          <w:b/>
          <w:bCs/>
        </w:rPr>
        <w:t xml:space="preserve">Das Recht sollte niemals ein Privileg sein, das denjenigen vorbehalten ist, die sich die besten Anwälte leisten können</w:t>
      </w:r>
      <w:r>
        <w:t xml:space="preserve">. Steven Hori baute zunächst ein Werkzeug für sich selbst, um das Recht zu verstehen und zu beherrschen, statt es zu erleiden. Dann beschloss er, diese Macht allen zugänglich zu machen.</w:t>
      </w:r>
    </w:p>
    <w:p>
      <w:pPr>
        <w:pBdr>
          <w:left w:val="single" w:color="8B1A1A" w:sz="12"/>
        </w:pBdr>
        <w:shd w:color="FDF9F6" w:val="solid"/>
        <w:spacing w:before="200" w:after="200"/>
        <w:ind w:left="600"/>
      </w:pPr>
      <w:r>
        <w:rPr>
          <w:rFonts w:ascii="Georgia" w:cs="Georgia" w:eastAsia="Georgia" w:hAnsi="Georgia"/>
          <w:i/>
          <w:iCs/>
          <w:color w:val="1B2A5B"/>
          <w:sz w:val="22"/>
          <w:szCs w:val="22"/>
        </w:rPr>
        <w:t xml:space="preserve">«Gerechtigkeit ist ein Recht, das allen zusteht. LawCodex ist aus dieser Überzeugung entstanden. Unsere Mission ist es, rechtliche Unsicherheit in klare Strategie zu verwandeln und den Bürgern die Kontrolle zurückzugeben.»</w:t>
      </w:r>
    </w:p>
    <w:p>
      <w:pPr>
        <w:spacing w:after="300"/>
        <w:ind w:left="600"/>
      </w:pPr>
      <w:r>
        <w:rPr>
          <w:b/>
          <w:bCs/>
          <w:color w:val="8B1A1A"/>
          <w:sz w:val="20"/>
          <w:szCs w:val="20"/>
        </w:rPr>
        <w:t xml:space="preserve">— Steven Hori, Gründer von LawCodex</w:t>
      </w:r>
    </w:p>
    <w:p>
      <w:pPr>
        <w:pStyle w:val="Heading2"/>
      </w:pPr>
      <w:r>
        <w:t xml:space="preserve">Bahnbrechende Funktionen im Dienste des Rechts</w:t>
      </w:r>
    </w:p>
    <w:p>
      <w:r>
        <w:t xml:space="preserve">LawCodex zeichnet sich durch eine umfassende Suite KI-gestützter Werkzeuge aus:</w:t>
      </w:r>
    </w:p>
    <w:p>
      <w:pPr>
        <w:spacing w:after="100"/>
        <w:ind w:left="360"/>
      </w:pPr>
      <w:r>
        <w:rPr>
          <w:color w:val="8B1A1A"/>
          <w:sz w:val="18"/>
          <w:szCs w:val="18"/>
        </w:rPr>
        <w:t xml:space="preserve">■ </w:t>
      </w:r>
      <w:r>
        <w:rPr>
          <w:b/>
          <w:bCs/>
          <w:color w:val="1B2A5B"/>
        </w:rPr>
        <w:t xml:space="preserve">Intelligente semantische Suche</w:t>
      </w:r>
      <w:r>
        <w:t xml:space="preserve"> — Eine Suchmaschine, die den Sinn juristischer Fragen versteht und relevante Texte aus Tausenden von Quellen findet (Schweizer Bundesgesetze, Rechtsprechung, europäische Kodizes).</w:t>
      </w:r>
    </w:p>
    <w:p>
      <w:pPr>
        <w:spacing w:after="100"/>
        <w:ind w:left="360"/>
      </w:pPr>
      <w:r>
        <w:rPr>
          <w:color w:val="8B1A1A"/>
          <w:sz w:val="18"/>
          <w:szCs w:val="18"/>
        </w:rPr>
        <w:t xml:space="preserve">■ </w:t>
      </w:r>
      <w:r>
        <w:rPr>
          <w:b/>
          <w:bCs/>
          <w:color w:val="1B2A5B"/>
        </w:rPr>
        <w:t xml:space="preserve">KI-Rechtsassistent</w:t>
      </w:r>
      <w:r>
        <w:t xml:space="preserve"> — Sofortige Antworten auf Rechtsfragen mit systematischer Quellenangabe.</w:t>
      </w:r>
    </w:p>
    <w:p>
      <w:pPr>
        <w:spacing w:after="100"/>
        <w:ind w:left="360"/>
      </w:pPr>
      <w:r>
        <w:rPr>
          <w:color w:val="8B1A1A"/>
          <w:sz w:val="18"/>
          <w:szCs w:val="18"/>
        </w:rPr>
        <w:t xml:space="preserve">■ </w:t>
      </w:r>
      <w:r>
        <w:rPr>
          <w:b/>
          <w:bCs/>
          <w:color w:val="1B2A5B"/>
        </w:rPr>
        <w:t xml:space="preserve">Strategische und prädiktive KI</w:t>
      </w:r>
      <w:r>
        <w:t xml:space="preserve"> — Fallanalyse, Verteidigungssimulation, Vorhersage rechtlicher Ergebnisse durch maschinelles Lernen.</w:t>
      </w:r>
    </w:p>
    <w:p>
      <w:pPr>
        <w:spacing w:after="100"/>
        <w:ind w:left="360"/>
      </w:pPr>
      <w:r>
        <w:rPr>
          <w:color w:val="8B1A1A"/>
          <w:sz w:val="18"/>
          <w:szCs w:val="18"/>
        </w:rPr>
        <w:t xml:space="preserve">■ </w:t>
      </w:r>
      <w:r>
        <w:rPr>
          <w:b/>
          <w:bCs/>
          <w:color w:val="1B2A5B"/>
        </w:rPr>
        <w:t xml:space="preserve">Automatische Dokumentenerstellung</w:t>
      </w:r>
      <w:r>
        <w:t xml:space="preserve"> — Juristische Schreiben, Mahnungen, Verträge, angepasst an jede Situation.</w:t>
      </w:r>
    </w:p>
    <w:p>
      <w:pPr>
        <w:spacing w:after="100"/>
        <w:ind w:left="360"/>
      </w:pPr>
      <w:r>
        <w:rPr>
          <w:color w:val="8B1A1A"/>
          <w:sz w:val="18"/>
          <w:szCs w:val="18"/>
        </w:rPr>
        <w:t xml:space="preserve">■ </w:t>
      </w:r>
      <w:r>
        <w:rPr>
          <w:b/>
          <w:bCs/>
          <w:color w:val="1B2A5B"/>
        </w:rPr>
        <w:t xml:space="preserve">Elektronisches Dokumentenmanagement (EDM)</w:t>
      </w:r>
      <w:r>
        <w:t xml:space="preserve"> — Organisation, Annotation, Versionierung und sicherer Austausch aller Fallakten.</w:t>
      </w:r>
    </w:p>
    <w:p>
      <w:pPr>
        <w:spacing w:after="100"/>
        <w:ind w:left="360"/>
      </w:pPr>
      <w:r>
        <w:rPr>
          <w:color w:val="8B1A1A"/>
          <w:sz w:val="18"/>
          <w:szCs w:val="18"/>
        </w:rPr>
        <w:t xml:space="preserve">■ </w:t>
      </w:r>
      <w:r>
        <w:rPr>
          <w:b/>
          <w:bCs/>
          <w:color w:val="1B2A5B"/>
        </w:rPr>
        <w:t xml:space="preserve">Fortgeschrittene OCR</w:t>
      </w:r>
      <w:r>
        <w:t xml:space="preserve"> — Automatisches Scannen und Indexieren von Papierdokumenten.</w:t>
      </w:r>
    </w:p>
    <w:p>
      <w:pPr>
        <w:spacing w:after="100"/>
        <w:ind w:left="360"/>
      </w:pPr>
      <w:r>
        <w:rPr>
          <w:color w:val="8B1A1A"/>
          <w:sz w:val="18"/>
          <w:szCs w:val="18"/>
        </w:rPr>
        <w:t xml:space="preserve">■ </w:t>
      </w:r>
      <w:r>
        <w:rPr>
          <w:b/>
          <w:bCs/>
          <w:color w:val="1B2A5B"/>
        </w:rPr>
        <w:t xml:space="preserve">Multi-Jurisdiktions-Abdeckung</w:t>
      </w:r>
      <w:r>
        <w:t xml:space="preserve"> — Schweiz, und bald Frankreich, Belgien, Deutschland, Spanien, Großbritannien, USA, Kanada, Brasilien und die EU.</w:t>
      </w:r>
    </w:p>
    <w:p>
      <w:pPr>
        <w:spacing w:after="100"/>
        <w:ind w:left="360"/>
      </w:pPr>
      <w:r>
        <w:rPr>
          <w:color w:val="8B1A1A"/>
          <w:sz w:val="18"/>
          <w:szCs w:val="18"/>
        </w:rPr>
        <w:t xml:space="preserve">■ </w:t>
      </w:r>
      <w:r>
        <w:rPr>
          <w:b/>
          <w:bCs/>
          <w:color w:val="1B2A5B"/>
        </w:rPr>
        <w:t xml:space="preserve">Mehrsprachig</w:t>
      </w:r>
      <w:r>
        <w:t xml:space="preserve"> — Benutzeroberfläche in 7 Sprachen verfügbar: Französisch, Deutsch, Englisch, Italienisch, Spanisch, Portugiesisch und Niederländisch.</w:t>
      </w:r>
    </w:p>
    <w:p>
      <w:pPr>
        <w:pStyle w:val="Heading2"/>
      </w:pPr>
      <w:r>
        <w:t xml:space="preserve">Ein Modell, das allen Profilen zugänglich ist</w:t>
      </w:r>
    </w:p>
    <w:p>
      <w:r>
        <w:rPr>
          <w:b w:val="false"/>
          <w:bCs w:val="false"/>
        </w:rPr>
        <w:t xml:space="preserve">LawCodex richtet sich sowohl an </w:t>
      </w:r>
      <w:r>
        <w:rPr>
          <w:b/>
          <w:bCs/>
        </w:rPr>
        <w:t xml:space="preserve">Privatpersonen</w:t>
      </w:r>
      <w:r>
        <w:rPr>
          <w:b w:val="false"/>
          <w:bCs w:val="false"/>
        </w:rPr>
        <w:t xml:space="preserve"> mit rechtlichen Anliegen als auch an </w:t>
      </w:r>
      <w:r>
        <w:rPr>
          <w:b/>
          <w:bCs/>
        </w:rPr>
        <w:t xml:space="preserve">Anwälte</w:t>
      </w:r>
      <w:r>
        <w:rPr>
          <w:b w:val="false"/>
          <w:bCs w:val="false"/>
        </w:rPr>
        <w:t xml:space="preserve">, </w:t>
      </w:r>
      <w:r>
        <w:rPr>
          <w:b/>
          <w:bCs/>
        </w:rPr>
        <w:t xml:space="preserve">Unternehmensjuristen</w:t>
      </w:r>
      <w:r>
        <w:rPr>
          <w:b w:val="false"/>
          <w:bCs w:val="false"/>
        </w:rPr>
        <w:t xml:space="preserve">, </w:t>
      </w:r>
      <w:r>
        <w:rPr>
          <w:b/>
          <w:bCs/>
        </w:rPr>
        <w:t xml:space="preserve">Jurastudierende</w:t>
      </w:r>
      <w:r>
        <w:rPr>
          <w:b w:val="false"/>
          <w:bCs w:val="false"/>
        </w:rPr>
        <w:t xml:space="preserve"> und </w:t>
      </w:r>
      <w:r>
        <w:rPr>
          <w:b/>
          <w:bCs/>
        </w:rPr>
        <w:t xml:space="preserve">Unternehmer</w:t>
      </w:r>
      <w:r>
        <w:rPr>
          <w:b w:val="false"/>
          <w:bCs w:val="false"/>
        </w:rPr>
        <w:t xml:space="preserve">.</w:t>
      </w:r>
    </w:p>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0"/>
        <w:gridCol w:w="100"/>
        <w:gridCol w:w="100"/>
      </w:tblGrid>
      <w:tr>
        <w:trPr>
          <w:tblHeader/>
        </w:trPr>
        <w:tc>
          <w:tcPr>
            <w:shd w:color="1B2A5B" w:val="solid"/>
          </w:tcPr>
          <w:p>
            <w:r>
              <w:rPr>
                <w:b/>
                <w:bCs/>
                <w:color w:val="FFFFFF"/>
                <w:sz w:val="20"/>
                <w:szCs w:val="20"/>
              </w:rPr>
              <w:t xml:space="preserve">Plan</w:t>
            </w:r>
          </w:p>
        </w:tc>
        <w:tc>
          <w:tcPr>
            <w:shd w:color="1B2A5B" w:val="solid"/>
          </w:tcPr>
          <w:p>
            <w:r>
              <w:rPr>
                <w:b/>
                <w:bCs/>
                <w:color w:val="FFFFFF"/>
                <w:sz w:val="20"/>
                <w:szCs w:val="20"/>
              </w:rPr>
              <w:t xml:space="preserve">Zielgruppe</w:t>
            </w:r>
          </w:p>
        </w:tc>
        <w:tc>
          <w:tcPr>
            <w:shd w:color="1B2A5B" w:val="solid"/>
          </w:tcPr>
          <w:p>
            <w:r>
              <w:rPr>
                <w:b/>
                <w:bCs/>
                <w:color w:val="FFFFFF"/>
                <w:sz w:val="20"/>
                <w:szCs w:val="20"/>
              </w:rPr>
              <w:t xml:space="preserve">Hauptmerkmale</w:t>
            </w:r>
          </w:p>
        </w:tc>
      </w:tr>
      <w:tr>
        <w:tc>
          <w:p>
            <w:r>
              <w:rPr>
                <w:b/>
                <w:bCs/>
                <w:color w:val="1B2A5B"/>
                <w:sz w:val="20"/>
                <w:szCs w:val="20"/>
              </w:rPr>
              <w:t xml:space="preserve">Privat</w:t>
            </w:r>
          </w:p>
        </w:tc>
        <w:tc>
          <w:p>
            <w:r>
              <w:rPr>
                <w:b w:val="false"/>
                <w:bCs w:val="false"/>
                <w:color w:val="374151"/>
                <w:sz w:val="20"/>
                <w:szCs w:val="20"/>
              </w:rPr>
              <w:t xml:space="preserve">Bürger, Studierende</w:t>
            </w:r>
          </w:p>
        </w:tc>
        <w:tc>
          <w:p>
            <w:r>
              <w:rPr>
                <w:b w:val="false"/>
                <w:bCs w:val="false"/>
                <w:color w:val="374151"/>
                <w:sz w:val="20"/>
                <w:szCs w:val="20"/>
              </w:rPr>
              <w:t xml:space="preserve">KI-Rechtsrecherche, strategische Analyse, Dokumentenerstellung, persönliches EDM</w:t>
            </w:r>
          </w:p>
        </w:tc>
      </w:tr>
      <w:tr>
        <w:tc>
          <w:tcPr>
            <w:shd w:color="F9FAFB" w:val="solid"/>
          </w:tcPr>
          <w:p>
            <w:r>
              <w:rPr>
                <w:b/>
                <w:bCs/>
                <w:color w:val="1B2A5B"/>
                <w:sz w:val="20"/>
                <w:szCs w:val="20"/>
              </w:rPr>
              <w:t xml:space="preserve">Professionell</w:t>
            </w:r>
          </w:p>
        </w:tc>
        <w:tc>
          <w:tcPr>
            <w:shd w:color="F9FAFB" w:val="solid"/>
          </w:tcPr>
          <w:p>
            <w:r>
              <w:rPr>
                <w:b w:val="false"/>
                <w:bCs w:val="false"/>
                <w:color w:val="374151"/>
                <w:sz w:val="20"/>
                <w:szCs w:val="20"/>
              </w:rPr>
              <w:t xml:space="preserve">Anwälte, Juristen</w:t>
            </w:r>
          </w:p>
        </w:tc>
        <w:tc>
          <w:tcPr>
            <w:shd w:color="F9FAFB" w:val="solid"/>
          </w:tcPr>
          <w:p>
            <w:r>
              <w:rPr>
                <w:b w:val="false"/>
                <w:bCs w:val="false"/>
                <w:color w:val="374151"/>
                <w:sz w:val="20"/>
                <w:szCs w:val="20"/>
              </w:rPr>
              <w:t xml:space="preserve">+ Integriertes CRM, Mandatsverwaltung, Online-Terminkalender, Abrechnung, Zeiterfassung</w:t>
            </w:r>
          </w:p>
        </w:tc>
      </w:tr>
      <w:tr>
        <w:tc>
          <w:p>
            <w:r>
              <w:rPr>
                <w:b/>
                <w:bCs/>
                <w:color w:val="1B2A5B"/>
                <w:sz w:val="20"/>
                <w:szCs w:val="20"/>
              </w:rPr>
              <w:t xml:space="preserve">Unternehmen</w:t>
            </w:r>
          </w:p>
        </w:tc>
        <w:tc>
          <w:p>
            <w:r>
              <w:rPr>
                <w:b w:val="false"/>
                <w:bCs w:val="false"/>
                <w:color w:val="374151"/>
                <w:sz w:val="20"/>
                <w:szCs w:val="20"/>
              </w:rPr>
              <w:t xml:space="preserve">Kanzleien, Firmen</w:t>
            </w:r>
          </w:p>
        </w:tc>
        <w:tc>
          <w:p>
            <w:r>
              <w:rPr>
                <w:b w:val="false"/>
                <w:bCs w:val="false"/>
                <w:color w:val="374151"/>
                <w:sz w:val="20"/>
                <w:szCs w:val="20"/>
              </w:rPr>
              <w:t xml:space="preserve">+ Mehrere Benutzer, mehrere Standorte, Markenmanagement, Drittanbieter-Integrationen, erweiterte Analysen</w:t>
            </w:r>
          </w:p>
        </w:tc>
      </w:tr>
    </w:tbl>
    <w:p>
      <w:pPr>
        <w:pStyle w:val="Heading2"/>
        <w:spacing w:before="300"/>
      </w:pPr>
      <w:r>
        <w:t xml:space="preserve">Die Schweiz als Ausgangspunkt, Europa als Horizont</w:t>
      </w:r>
    </w:p>
    <w:p>
      <w:r>
        <w:t xml:space="preserve">Mit Sitz in der Schweiz profitiert LawCodex von einer nativen Integration der Schweizer Bundesrechtsquellen (Fedlex, Rechtsprechung des Bundesgerichts) und verfolgt eine europäische Expansionsstrategie. Die Plattform hat bereits ihre Absicht angekündigt, </w:t>
      </w:r>
      <w:r>
        <w:rPr>
          <w:b/>
          <w:bCs/>
        </w:rPr>
        <w:t xml:space="preserve">strategische Partnerschaften mit mehr als 10 Schweizer Anwaltskanzleien</w:t>
      </w:r>
      <w:r>
        <w:t xml:space="preserve"> einzugehen, und führt derzeit eine </w:t>
      </w:r>
      <w:r>
        <w:rPr>
          <w:b/>
          <w:bCs/>
        </w:rPr>
        <w:t xml:space="preserve">Finanzierungsrunde von 500.000 CHF</w:t>
      </w:r>
      <w:r>
        <w:t xml:space="preserve"> durch, um ihre Entwicklung zu beschleunigen.</w:t>
      </w:r>
    </w:p>
    <w:p>
      <w:pPr>
        <w:pStyle w:val="Heading2"/>
      </w:pPr>
      <w:r>
        <w:t xml:space="preserve">Kennzahlen</w:t>
      </w:r>
    </w:p>
    <w:p>
      <w:pPr>
        <w:spacing w:after="80"/>
        <w:ind w:left="360"/>
      </w:pPr>
      <w:r>
        <w:rPr>
          <w:rFonts w:ascii="Georgia" w:cs="Georgia" w:eastAsia="Georgia" w:hAnsi="Georgia"/>
          <w:b/>
          <w:bCs/>
          <w:color w:val="8B1A1A"/>
          <w:sz w:val="24"/>
          <w:szCs w:val="24"/>
        </w:rPr>
        <w:t xml:space="preserve">10+</w:t>
      </w:r>
      <w:r>
        <w:rPr>
          <w:color w:val="6B7280"/>
        </w:rPr>
        <w:t xml:space="preserve">  Fachleute im Team</w:t>
      </w:r>
    </w:p>
    <w:p>
      <w:pPr>
        <w:spacing w:after="80"/>
        <w:ind w:left="360"/>
      </w:pPr>
      <w:r>
        <w:rPr>
          <w:rFonts w:ascii="Georgia" w:cs="Georgia" w:eastAsia="Georgia" w:hAnsi="Georgia"/>
          <w:b/>
          <w:bCs/>
          <w:color w:val="8B1A1A"/>
          <w:sz w:val="24"/>
          <w:szCs w:val="24"/>
        </w:rPr>
        <w:t xml:space="preserve">200+</w:t>
      </w:r>
      <w:r>
        <w:rPr>
          <w:color w:val="6B7280"/>
        </w:rPr>
        <w:t xml:space="preserve">  Vorlagen für Rechtsdokumente</w:t>
      </w:r>
    </w:p>
    <w:p>
      <w:pPr>
        <w:spacing w:after="80"/>
        <w:ind w:left="360"/>
      </w:pPr>
      <w:r>
        <w:rPr>
          <w:rFonts w:ascii="Georgia" w:cs="Georgia" w:eastAsia="Georgia" w:hAnsi="Georgia"/>
          <w:b/>
          <w:bCs/>
          <w:color w:val="8B1A1A"/>
          <w:sz w:val="24"/>
          <w:szCs w:val="24"/>
        </w:rPr>
        <w:t xml:space="preserve">11</w:t>
      </w:r>
      <w:r>
        <w:rPr>
          <w:color w:val="6B7280"/>
        </w:rPr>
        <w:t xml:space="preserve">  abgedeckte Rechtsordnungen</w:t>
      </w:r>
    </w:p>
    <w:p>
      <w:pPr>
        <w:spacing w:after="80"/>
        <w:ind w:left="360"/>
      </w:pPr>
      <w:r>
        <w:rPr>
          <w:rFonts w:ascii="Georgia" w:cs="Georgia" w:eastAsia="Georgia" w:hAnsi="Georgia"/>
          <w:b/>
          <w:bCs/>
          <w:color w:val="8B1A1A"/>
          <w:sz w:val="24"/>
          <w:szCs w:val="24"/>
        </w:rPr>
        <w:t xml:space="preserve">7</w:t>
      </w:r>
      <w:r>
        <w:rPr>
          <w:color w:val="6B7280"/>
        </w:rPr>
        <w:t xml:space="preserve">  Oberflächensprachen</w:t>
      </w:r>
    </w:p>
    <w:p>
      <w:pPr>
        <w:spacing w:after="80"/>
        <w:ind w:left="360"/>
      </w:pPr>
      <w:r>
        <w:rPr>
          <w:rFonts w:ascii="Georgia" w:cs="Georgia" w:eastAsia="Georgia" w:hAnsi="Georgia"/>
          <w:b/>
          <w:bCs/>
          <w:color w:val="8B1A1A"/>
          <w:sz w:val="24"/>
          <w:szCs w:val="24"/>
        </w:rPr>
        <w:t xml:space="preserve">10h/T, 5T/7</w:t>
      </w:r>
      <w:r>
        <w:rPr>
          <w:color w:val="6B7280"/>
        </w:rPr>
        <w:t xml:space="preserve">  Support</w:t>
      </w:r>
    </w:p>
    <w:p>
      <w:pPr>
        <w:shd w:color="1B2A5B" w:val="solid"/>
        <w:spacing w:before="400" w:after="100"/>
        <w:jc w:val="center"/>
      </w:pPr>
      <w:r>
        <w:rPr>
          <w:rFonts w:ascii="Georgia" w:cs="Georgia" w:eastAsia="Georgia" w:hAnsi="Georgia"/>
          <w:b/>
          <w:bCs/>
          <w:color w:val="FFFFFF"/>
          <w:sz w:val="28"/>
          <w:szCs w:val="28"/>
        </w:rPr>
        <w:t xml:space="preserve">
Startdatum</w:t>
      </w:r>
    </w:p>
    <w:p>
      <w:pPr>
        <w:shd w:color="1B2A5B" w:val="solid"/>
        <w:jc w:val="center"/>
      </w:pPr>
      <w:r>
        <w:rPr>
          <w:b/>
          <w:bCs/>
          <w:color w:val="FBBF24"/>
          <w:sz w:val="26"/>
          <w:szCs w:val="26"/>
        </w:rPr>
        <w:t xml:space="preserve">Mittwoch, 5. März 2026 um 12:30 Uhr (MEZ)</w:t>
      </w:r>
    </w:p>
    <w:p>
      <w:pPr>
        <w:shd w:color="1B2A5B" w:val="solid"/>
        <w:spacing w:after="300"/>
        <w:jc w:val="center"/>
      </w:pPr>
      <w:r>
        <w:rPr>
          <w:color w:val="93C5FD"/>
          <w:sz w:val="22"/>
          <w:szCs w:val="22"/>
        </w:rPr>
        <w:t xml:space="preserve">https://lawcodex.com
</w:t>
      </w:r>
    </w:p>
    <w:p>
      <w:pPr>
        <w:pStyle w:val="Heading2"/>
      </w:pPr>
      <w:r>
        <w:t xml:space="preserve">Über LawCodex</w:t>
      </w:r>
    </w:p>
    <w:p>
      <w:pPr>
        <w:pBdr>
          <w:top w:val="single" w:color="E5E7EB" w:sz="1"/>
          <w:bottom w:val="single" w:color="E5E7EB" w:sz="1"/>
          <w:left w:val="single" w:color="E5E7EB" w:sz="1"/>
          <w:right w:val="single" w:color="E5E7EB" w:sz="1"/>
        </w:pBdr>
        <w:shd w:color="FAFAFA" w:val="solid"/>
      </w:pPr>
      <w:r>
        <w:t xml:space="preserve">LawCodex ist eine Schweizer SaaS-Plattform für Rechtsrecherche und -analyse, angetrieben von künstlicher Intelligenz. Zwischen 2022 und 2025 von Steven Hori gegründet, verfolgt das Unternehmen eine klare Mission: das Recht verständlich, zugänglich und umsetzbar für alle zu machen. Durch die Kombination von semantischer Suche, prädiktiver KI, natürlicher Sprachverarbeitung und fortschrittlichem Dokumentenmanagement verändert LawCodex die Art und Weise, wie Privatpersonen und Fachleute mit dem Recht interagieren.</w:t>
      </w:r>
    </w:p>
    <w:p>
      <w:pPr>
        <w:spacing w:after="80"/>
      </w:pPr>
      <w:r>
        <w:rPr>
          <w:b/>
          <w:bCs/>
          <w:color w:val="1B2A5B"/>
        </w:rPr>
        <w:t xml:space="preserve">Website: </w:t>
      </w:r>
      <w:hyperlink w:history="1" r:id="rIdudme4qoegdsh98jyea9rc">
        <w:r>
          <w:rPr>
            <w:color w:val="8B1A1A"/>
            <w:u w:val="single"/>
          </w:rPr>
          <w:t xml:space="preserve">lawcodex.com</w:t>
        </w:r>
      </w:hyperlink>
      <w:r>
        <w:rPr>
          <w:b/>
          <w:bCs/>
          <w:color w:val="1B2A5B"/>
        </w:rPr>
        <w:t xml:space="preserve">   |   Pressebereich: </w:t>
      </w:r>
      <w:hyperlink w:history="1" r:id="rIdlp72tj7sbd2mbo6uwlqa9">
        <w:r>
          <w:rPr>
            <w:color w:val="8B1A1A"/>
            <w:u w:val="single"/>
          </w:rPr>
          <w:t xml:space="preserve">lawcodexpress.com</w:t>
        </w:r>
      </w:hyperlink>
    </w:p>
    <w:p>
      <w:pPr>
        <w:spacing w:after="80"/>
      </w:pPr>
      <w:r>
        <w:rPr>
          <w:b/>
          <w:bCs/>
          <w:color w:val="1B2A5B"/>
        </w:rPr>
        <w:t xml:space="preserve">YouTube: </w:t>
      </w:r>
      <w:hyperlink w:history="1" r:id="rIdlwdswggumftw5krgxsv4_">
        <w:r>
          <w:rPr>
            <w:color w:val="8B1A1A"/>
            <w:u w:val="single"/>
          </w:rPr>
          <w:t xml:space="preserve">@lawcodex_ai</w:t>
        </w:r>
      </w:hyperlink>
      <w:r>
        <w:rPr>
          <w:b/>
          <w:bCs/>
          <w:color w:val="1B2A5B"/>
        </w:rPr>
        <w:t xml:space="preserve">   |   Instagram: </w:t>
      </w:r>
      <w:hyperlink w:history="1" r:id="rIde6jrulhmqcx3gyssddu8d">
        <w:r>
          <w:rPr>
            <w:color w:val="8B1A1A"/>
            <w:u w:val="single"/>
          </w:rPr>
          <w:t xml:space="preserve">@lawCodex</w:t>
        </w:r>
      </w:hyperlink>
    </w:p>
    <w:p>
      <w:pPr>
        <w:pStyle w:val="Heading2"/>
      </w:pPr>
      <w:r>
        <w:t xml:space="preserve">Pressekontakt</w:t>
      </w:r>
    </w:p>
    <w:p>
      <w:pPr>
        <w:shd w:color="F3F4F6" w:val="solid"/>
        <w:spacing w:after="60"/>
      </w:pPr>
      <w:r>
        <w:rPr>
          <w:b/>
          <w:bCs/>
          <w:color w:val="1B2A5B"/>
        </w:rPr>
        <w:t xml:space="preserve">Name: </w:t>
      </w:r>
      <w:r>
        <w:t xml:space="preserve">Emily Hornsby-Martinez</w:t>
      </w:r>
    </w:p>
    <w:p>
      <w:pPr>
        <w:shd w:color="F3F4F6" w:val="solid"/>
        <w:spacing w:after="60"/>
      </w:pPr>
      <w:r>
        <w:rPr>
          <w:b/>
          <w:bCs/>
          <w:color w:val="1B2A5B"/>
        </w:rPr>
        <w:t xml:space="preserve">Funktion: </w:t>
      </w:r>
      <w:r>
        <w:t xml:space="preserve">Co-founder &amp; CEO</w:t>
      </w:r>
    </w:p>
    <w:p>
      <w:pPr>
        <w:shd w:color="F3F4F6" w:val="solid"/>
        <w:spacing w:after="60"/>
      </w:pPr>
      <w:r>
        <w:rPr>
          <w:b/>
          <w:bCs/>
          <w:color w:val="1B2A5B"/>
        </w:rPr>
        <w:t xml:space="preserve">E-Mail: </w:t>
      </w:r>
      <w:hyperlink w:history="1" r:id="rIdwkj2hymla4zekbdwymum6">
        <w:r>
          <w:rPr>
            <w:color w:val="8B1A1A"/>
            <w:u w:val="single"/>
          </w:rPr>
          <w:t xml:space="preserve">offices@lawcodex.com</w:t>
        </w:r>
      </w:hyperlink>
    </w:p>
    <w:p>
      <w:pPr>
        <w:shd w:color="F3F4F6" w:val="solid"/>
        <w:spacing w:after="60"/>
      </w:pPr>
      <w:r>
        <w:rPr>
          <w:b/>
          <w:bCs/>
          <w:color w:val="1B2A5B"/>
        </w:rPr>
        <w:t xml:space="preserve">Telefon: </w:t>
      </w:r>
      <w:r>
        <w:t xml:space="preserve">+41 21 519 23 63</w:t>
      </w:r>
    </w:p>
    <w:p>
      <w:pPr>
        <w:shd w:color="F3F4F6" w:val="solid"/>
        <w:spacing w:after="300"/>
      </w:pPr>
      <w:r>
        <w:rPr>
          <w:b/>
          <w:bCs/>
          <w:color w:val="1B2A5B"/>
        </w:rPr>
        <w:t xml:space="preserve">Website: </w:t>
      </w:r>
      <w:hyperlink w:history="1" r:id="rId8lvp0k0-9vskmaq0rjtuy">
        <w:r>
          <w:rPr>
            <w:color w:val="8B1A1A"/>
            <w:u w:val="single"/>
          </w:rPr>
          <w:t xml:space="preserve">lawcodex.com/press</w:t>
        </w:r>
      </w:hyperlink>
    </w:p>
    <w:p>
      <w:pPr>
        <w:spacing w:before="200"/>
        <w:jc w:val="center"/>
      </w:pPr>
      <w:r>
        <w:rPr>
          <w:i/>
          <w:iCs/>
          <w:color w:val="6B7280"/>
          <w:sz w:val="20"/>
          <w:szCs w:val="20"/>
        </w:rPr>
        <w:t xml:space="preserve">Hochauflösende Bilder, Logos und Medienkit auf Anfrage oder unter:</w:t>
      </w:r>
    </w:p>
    <w:p>
      <w:pPr>
        <w:jc w:val="center"/>
      </w:pPr>
      <w:hyperlink w:history="1" r:id="rIdmvxqqpmzxn4ds8kq76ruh">
        <w:r>
          <w:rPr>
            <w:color w:val="8B1A1A"/>
            <w:sz w:val="20"/>
            <w:szCs w:val="20"/>
            <w:u w:val="single"/>
          </w:rPr>
          <w:t xml:space="preserve">https://lawcodexpress.com/kit-media/</w:t>
        </w:r>
      </w:hyperlink>
    </w:p>
    <w:p>
      <w:pPr>
        <w:spacing w:before="300"/>
        <w:jc w:val="center"/>
      </w:pPr>
      <w:r>
        <w:rPr>
          <w:color w:val="6B7280"/>
          <w:sz w:val="18"/>
          <w:szCs w:val="18"/>
        </w:rPr>
        <w:t xml:space="preserve">© 2026 LawCodex — Decode Law &amp; Deploy Strategy</w:t>
      </w:r>
    </w:p>
    <w:sectPr>
      <w:pgSz w:w="11906" w:h="16838" w:orient="portrait"/>
      <w:pgMar w:top="1000" w:right="1200" w:bottom="800" w:left="1200"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cs="Calibri" w:eastAsia="Calibri" w:hAnsi="Calibri"/>
        <w:color w:val="374151"/>
        <w:sz w:val="22"/>
        <w:szCs w:val="22"/>
      </w:rPr>
    </w:rPrDefault>
    <w:pPrDefault>
      <w:pPr>
        <w:spacing w:after="160" w:line="320"/>
      </w:pPr>
    </w:pPrDefault>
  </w:docDefaults>
  <w:style w:type="paragraph" w:styleId="Title">
    <w:name w:val="Title"/>
    <w:basedOn w:val="Normal"/>
    <w:next w:val="Normal"/>
    <w:qFormat/>
    <w:rPr>
      <w:sz w:val="56"/>
      <w:szCs w:val="56"/>
    </w:rPr>
  </w:style>
  <w:style w:type="paragraph" w:styleId="Heading1">
    <w:name w:val="Heading 1"/>
    <w:basedOn w:val="Normal"/>
    <w:next w:val="Normal"/>
    <w:qFormat/>
    <w:pPr>
      <w:pBdr>
        <w:bottom w:val="single" w:color="8B1A1A" w:sz="6"/>
      </w:pBdr>
      <w:spacing w:before="360" w:after="200"/>
    </w:pPr>
    <w:rPr>
      <w:rFonts w:ascii="Georgia" w:cs="Georgia" w:eastAsia="Georgia" w:hAnsi="Georgia"/>
      <w:b/>
      <w:bCs/>
      <w:color w:val="1B2A5B"/>
      <w:sz w:val="36"/>
      <w:szCs w:val="36"/>
    </w:rPr>
  </w:style>
  <w:style w:type="paragraph" w:styleId="Heading2">
    <w:name w:val="Heading 2"/>
    <w:basedOn w:val="Normal"/>
    <w:next w:val="Normal"/>
    <w:qFormat/>
    <w:pPr>
      <w:pBdr>
        <w:bottom w:val="single" w:color="8B1A1A" w:sz="4"/>
      </w:pBdr>
      <w:spacing w:before="320" w:after="160"/>
    </w:pPr>
    <w:rPr>
      <w:rFonts w:ascii="Georgia" w:cs="Georgia" w:eastAsia="Georgia" w:hAnsi="Georgia"/>
      <w:b/>
      <w:bCs/>
      <w:color w:val="1B2A5B"/>
      <w:sz w:val="28"/>
      <w:szCs w:val="28"/>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color w:val="0563C1"/>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comments.xml.rels><?xml version="1.0" encoding="UTF-8"?><Relationships xmlns="http://schemas.openxmlformats.org/package/2006/relationship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udme4qoegdsh98jyea9rc" Type="http://schemas.openxmlformats.org/officeDocument/2006/relationships/hyperlink" Target="https://lawcodex.com" TargetMode="External"/><Relationship Id="rIdlp72tj7sbd2mbo6uwlqa9" Type="http://schemas.openxmlformats.org/officeDocument/2006/relationships/hyperlink" Target="https://lawcodexpress.com" TargetMode="External"/><Relationship Id="rIdlwdswggumftw5krgxsv4_" Type="http://schemas.openxmlformats.org/officeDocument/2006/relationships/hyperlink" Target="https://www.youtube.com/@lawcodex_ai" TargetMode="External"/><Relationship Id="rIde6jrulhmqcx3gyssddu8d" Type="http://schemas.openxmlformats.org/officeDocument/2006/relationships/hyperlink" Target="https://www.instagram.com/lawCodex" TargetMode="External"/><Relationship Id="rIdwkj2hymla4zekbdwymum6" Type="http://schemas.openxmlformats.org/officeDocument/2006/relationships/hyperlink" Target="mailto:offices@lawcodex.com" TargetMode="External"/><Relationship Id="rId8lvp0k0-9vskmaq0rjtuy" Type="http://schemas.openxmlformats.org/officeDocument/2006/relationships/hyperlink" Target="https://lawcodex.com/press" TargetMode="External"/><Relationship Id="rIdmvxqqpmzxn4ds8kq76ruh" Type="http://schemas.openxmlformats.org/officeDocument/2006/relationships/hyperlink" Target="https://lawcodexpress.com/kit-media/" TargetMode="External"/><Relationship Id="rId6" Type="http://schemas.openxmlformats.org/officeDocument/2006/relationships/image" Target="media/51c62ce8e0574814de4a013ff887ad8c70d34518.png"/><Relationship Id="rId14" Type="http://schemas.openxmlformats.org/officeDocument/2006/relationships/fontTable" Target="fontTable.xml"/></Relationships>
</file>

<file path=word/_rels/fontTable.xml.rels><?xml version="1.0" encoding="UTF-8"?><Relationships xmlns="http://schemas.openxmlformats.org/package/2006/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2026-03-01T14:21:40.600Z</dcterms:created>
  <dcterms:modified xsi:type="dcterms:W3CDTF">2026-03-01T14:21:40.600Z</dcterms:modified>
</cp:coreProperties>
</file>

<file path=docProps/custom.xml><?xml version="1.0" encoding="utf-8"?>
<Properties xmlns="http://schemas.openxmlformats.org/officeDocument/2006/custom-properties" xmlns:vt="http://schemas.openxmlformats.org/officeDocument/2006/docPropsVTypes"/>
</file>