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image/svg+xml" Extension="svg"/>
  <Default ContentType="application/vnd.openxmlformats-package.relationships+xml" Extension="rels"/>
  <Default ContentType="application/xml" Extension="xml"/>
  <Default ContentType="application/vnd.openxmlformats-officedocument.obfuscatedFont" Extension="odttf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  <Override ContentType="application/vnd.openxmlformats-officedocument.wordprocessingml.fontTable+xml" PartName="/word/fontTable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p>
      <w:pPr>
        <w:spacing w:after="200"/>
        <w:jc w:val="center"/>
      </w:pPr>
      <w:r>
        <w:drawing>
          <wp:inline distT="0" distB="0" distL="0" distR="0">
            <wp:extent cx="1905000" cy="1333500"/>
            <wp:effectExtent t="0" r="0" b="0" l="0"/>
            <wp:docPr id="1" name="" descr="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 descr=""/>
                    <pic:cNvPicPr>
                      <a:picLocks noChangeAspect="1" noChangeArrowheads="1"/>
                    </pic:cNvPicPr>
                  </pic:nvPicPr>
                  <pic:blipFill>
                    <a:blip r:embed="rId6" cstate="none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100"/>
        <w:jc w:val="center"/>
      </w:pPr>
      <w:r>
        <w:rPr>
          <w:rFonts w:ascii="Calibri" w:cs="Calibri" w:eastAsia="Calibri" w:hAnsi="Calibri"/>
          <w:b/>
          <w:bCs/>
          <w:caps/>
          <w:color w:val="8B1A1A"/>
          <w:sz w:val="18"/>
          <w:szCs w:val="18"/>
        </w:rPr>
        <w:t xml:space="preserve">COMUNICATO STAMPA</w:t>
      </w:r>
    </w:p>
    <w:p>
      <w:pPr>
        <w:spacing w:after="200"/>
        <w:jc w:val="center"/>
      </w:pPr>
      <w:r>
        <w:rPr>
          <w:rFonts w:ascii="Georgia" w:cs="Georgia" w:eastAsia="Georgia" w:hAnsi="Georgia"/>
          <w:b/>
          <w:bCs/>
          <w:color w:val="1B2A5B"/>
          <w:sz w:val="32"/>
          <w:szCs w:val="32"/>
        </w:rPr>
        <w:t xml:space="preserve">LawCodex lancia ufficialmente la sua piattaforma di intelligenza artificiale giuridica in Svizzera il 5 marzo 2026</w:t>
      </w:r>
    </w:p>
    <w:p>
      <w:pPr>
        <w:spacing w:after="300"/>
        <w:jc w:val="center"/>
      </w:pPr>
      <w:r>
        <w:rPr>
          <w:rFonts w:ascii="Calibri" w:cs="Calibri" w:eastAsia="Calibri" w:hAnsi="Calibri"/>
          <w:i/>
          <w:iCs/>
          <w:color w:val="6B7280"/>
          <w:sz w:val="22"/>
          <w:szCs w:val="22"/>
        </w:rPr>
        <w:t xml:space="preserve">La prima piattaforma svizzera che unisce IA e diritto per rendere la giustizia accessibile a tutti — privati, professionisti e imprese.</w:t>
      </w:r>
    </w:p>
    <w:p>
      <w:pPr>
        <w:pBdr>
          <w:bottom w:val="single" w:color="8B1A1A" w:sz="6"/>
        </w:pBdr>
        <w:shd w:color="F3F4F6" w:val="solid"/>
        <w:spacing w:after="300"/>
        <w:jc w:val="center"/>
      </w:pPr>
      <w:r>
        <w:rPr>
          <w:rFonts w:ascii="Calibri" w:cs="Calibri" w:eastAsia="Calibri" w:hAnsi="Calibri"/>
          <w:b/>
          <w:bCs/>
          <w:color w:val="1B2A5B"/>
          <w:sz w:val="20"/>
          <w:szCs w:val="20"/>
        </w:rPr>
        <w:t xml:space="preserve">Per la diffusione — Giovedì 5 marzo 2026 alle 12:30</w:t>
      </w:r>
      <w:r>
        <w:rPr>
          <w:rFonts w:ascii="Calibri" w:cs="Calibri" w:eastAsia="Calibri" w:hAnsi="Calibri"/>
          <w:color w:val="6B7280"/>
          <w:sz w:val="20"/>
          <w:szCs w:val="20"/>
        </w:rPr>
        <w:t xml:space="preserve">  |  Svizzera, 3 marzo 2026</w:t>
      </w:r>
    </w:p>
    <w:p>
      <w:pPr>
        <w:pBdr>
          <w:bottom w:val="single" w:color="E5E7EB" w:sz="1"/>
        </w:pBdr>
        <w:spacing w:after="300"/>
      </w:pPr>
      <w:r>
        <w:rPr>
          <w:b/>
          <w:bCs/>
        </w:rPr>
        <w:t xml:space="preserve">Svizzera, 3 marzo 2026</w:t>
      </w:r>
      <w:r>
        <w:t xml:space="preserve"> — LawCodex, piattaforma SaaS di intelligenza artificiale dedicata al diritto, annuncia il suo lancio ufficiale il </w:t>
      </w:r>
      <w:r>
        <w:rPr>
          <w:b/>
          <w:bCs/>
        </w:rPr>
        <w:t xml:space="preserve">mercoledì 5 marzo 2026 alle 12:30</w:t>
      </w:r>
      <w:r>
        <w:t xml:space="preserve">. Progettata in Svizzera, la piattaforma ambisce a trasformare radicalmente l'accesso al diritto combinando tecnologie all'avanguardia — ricerca semantica, analisi predittiva, elaborazione del linguaggio naturale — con una copertura giuridica che comprende la Svizzera, la Francia, l'Unione europea e diverse giurisdizioni internazionali.</w:t>
      </w:r>
    </w:p>
    <w:p>
      <w:pPr>
        <w:pStyle w:val="Heading2"/>
      </w:pPr>
      <w:r>
        <w:t xml:space="preserve">Una piattaforma nata da una battaglia personale</w:t>
      </w:r>
    </w:p>
    <w:p>
      <w:r>
        <w:t xml:space="preserve">La storia di LawCodex è profondamente umana. Il suo fondatore, </w:t>
      </w:r>
      <w:r>
        <w:rPr>
          <w:b/>
          <w:bCs/>
        </w:rPr>
        <w:t xml:space="preserve">Steven Hori</w:t>
      </w:r>
      <w:r>
        <w:t xml:space="preserve">, non è un giurista. È un padre. Nel 2021, di fronte al rapimento internazionale di sua figlia dalla Svizzera verso l'estero, si è ritrovato solo davanti a un sistema giudiziario complesso e intimidatorio, dovendo condurre una battaglia legale tra diversi paesi. Per maggiori informazioni: bringkimhome.ch.</w:t>
      </w:r>
    </w:p>
    <w:p>
      <w:r>
        <w:t xml:space="preserve">Da questa prova è nata una convinzione: </w:t>
      </w:r>
      <w:r>
        <w:rPr>
          <w:b/>
          <w:bCs/>
        </w:rPr>
        <w:t xml:space="preserve">il diritto non dovrebbe mai essere un privilegio riservato a chi può permettersi i migliori avvocati</w:t>
      </w:r>
      <w:r>
        <w:t xml:space="preserve">. Steven Hori ha prima costruito uno strumento per se stesso, per comprendere e padroneggiare il diritto invece di subirlo. Poi ha deciso di mettere questa potenza a disposizione di tutti.</w:t>
      </w:r>
    </w:p>
    <w:p>
      <w:pPr>
        <w:pBdr>
          <w:left w:val="single" w:color="8B1A1A" w:sz="12"/>
        </w:pBdr>
        <w:shd w:color="FDF9F6" w:val="solid"/>
        <w:spacing w:before="200" w:after="200"/>
        <w:ind w:left="600"/>
      </w:pPr>
      <w:r>
        <w:rPr>
          <w:rFonts w:ascii="Georgia" w:cs="Georgia" w:eastAsia="Georgia" w:hAnsi="Georgia"/>
          <w:i/>
          <w:iCs/>
          <w:color w:val="1B2A5B"/>
          <w:sz w:val="22"/>
          <w:szCs w:val="22"/>
        </w:rPr>
        <w:t xml:space="preserve">«La giustizia è un diritto accessibile a tutti. LawCodex è nato da questa convinzione. La nostra missione è trasformare l'incertezza giuridica in strategia chiara e restituire il controllo ai cittadini.»</w:t>
      </w:r>
    </w:p>
    <w:p>
      <w:pPr>
        <w:spacing w:after="300"/>
        <w:ind w:left="600"/>
      </w:pPr>
      <w:r>
        <w:rPr>
          <w:b/>
          <w:bCs/>
          <w:color w:val="8B1A1A"/>
          <w:sz w:val="20"/>
          <w:szCs w:val="20"/>
        </w:rPr>
        <w:t xml:space="preserve">— Steven Hori, Fondatore di LawCodex</w:t>
      </w:r>
    </w:p>
    <w:p>
      <w:pPr>
        <w:pStyle w:val="Heading2"/>
      </w:pPr>
      <w:r>
        <w:t xml:space="preserve">Funzionalità innovative al servizio del diritto</w:t>
      </w:r>
    </w:p>
    <w:p>
      <w:r>
        <w:t xml:space="preserve">LawCodex si distingue per una suite completa di strumenti alimentati dall'intelligenza artificiale:</w:t>
      </w:r>
    </w:p>
    <w:p>
      <w:pPr>
        <w:spacing w:after="100"/>
        <w:ind w:left="360"/>
      </w:pPr>
      <w:r>
        <w:rPr>
          <w:color w:val="8B1A1A"/>
          <w:sz w:val="18"/>
          <w:szCs w:val="18"/>
        </w:rPr>
        <w:t xml:space="preserve">■ </w:t>
      </w:r>
      <w:r>
        <w:rPr>
          <w:b/>
          <w:bCs/>
          <w:color w:val="1B2A5B"/>
        </w:rPr>
        <w:t xml:space="preserve">Ricerca semantica intelligente</w:t>
      </w:r>
      <w:r>
        <w:t xml:space="preserve"> — Un motore che comprende il significato delle domande giuridiche e trova i testi pertinenti tra migliaia di fonti (leggi federali svizzere, giurisprudenza, codici europei).</w:t>
      </w:r>
    </w:p>
    <w:p>
      <w:pPr>
        <w:spacing w:after="100"/>
        <w:ind w:left="360"/>
      </w:pPr>
      <w:r>
        <w:rPr>
          <w:color w:val="8B1A1A"/>
          <w:sz w:val="18"/>
          <w:szCs w:val="18"/>
        </w:rPr>
        <w:t xml:space="preserve">■ </w:t>
      </w:r>
      <w:r>
        <w:rPr>
          <w:b/>
          <w:bCs/>
          <w:color w:val="1B2A5B"/>
        </w:rPr>
        <w:t xml:space="preserve">Assistente IA giuridico</w:t>
      </w:r>
      <w:r>
        <w:t xml:space="preserve"> — Risposte istantanee alle domande di diritto, con citazione sistematica delle fonti legali.</w:t>
      </w:r>
    </w:p>
    <w:p>
      <w:pPr>
        <w:spacing w:after="100"/>
        <w:ind w:left="360"/>
      </w:pPr>
      <w:r>
        <w:rPr>
          <w:color w:val="8B1A1A"/>
          <w:sz w:val="18"/>
          <w:szCs w:val="18"/>
        </w:rPr>
        <w:t xml:space="preserve">■ </w:t>
      </w:r>
      <w:r>
        <w:rPr>
          <w:b/>
          <w:bCs/>
          <w:color w:val="1B2A5B"/>
        </w:rPr>
        <w:t xml:space="preserve">IA strategica e predittiva</w:t>
      </w:r>
      <w:r>
        <w:t xml:space="preserve"> — Analisi dei casi, simulazione della difesa, anticipazione degli esiti giuridici grazie al machine learning.</w:t>
      </w:r>
    </w:p>
    <w:p>
      <w:pPr>
        <w:spacing w:after="100"/>
        <w:ind w:left="360"/>
      </w:pPr>
      <w:r>
        <w:rPr>
          <w:color w:val="8B1A1A"/>
          <w:sz w:val="18"/>
          <w:szCs w:val="18"/>
        </w:rPr>
        <w:t xml:space="preserve">■ </w:t>
      </w:r>
      <w:r>
        <w:rPr>
          <w:b/>
          <w:bCs/>
          <w:color w:val="1B2A5B"/>
        </w:rPr>
        <w:t xml:space="preserve">Generazione automatica di documenti</w:t>
      </w:r>
      <w:r>
        <w:t xml:space="preserve"> — Lettere giuridiche, diffide, contratti, adattati a ogni situazione.</w:t>
      </w:r>
    </w:p>
    <w:p>
      <w:pPr>
        <w:spacing w:after="100"/>
        <w:ind w:left="360"/>
      </w:pPr>
      <w:r>
        <w:rPr>
          <w:color w:val="8B1A1A"/>
          <w:sz w:val="18"/>
          <w:szCs w:val="18"/>
        </w:rPr>
        <w:t xml:space="preserve">■ </w:t>
      </w:r>
      <w:r>
        <w:rPr>
          <w:b/>
          <w:bCs/>
          <w:color w:val="1B2A5B"/>
        </w:rPr>
        <w:t xml:space="preserve">Gestione elettronica dei documenti (GED)</w:t>
      </w:r>
      <w:r>
        <w:t xml:space="preserve"> — Organizzazione, annotazione, versionamento e condivisione sicura di tutti i fascicoli.</w:t>
      </w:r>
    </w:p>
    <w:p>
      <w:pPr>
        <w:spacing w:after="100"/>
        <w:ind w:left="360"/>
      </w:pPr>
      <w:r>
        <w:rPr>
          <w:color w:val="8B1A1A"/>
          <w:sz w:val="18"/>
          <w:szCs w:val="18"/>
        </w:rPr>
        <w:t xml:space="preserve">■ </w:t>
      </w:r>
      <w:r>
        <w:rPr>
          <w:b/>
          <w:bCs/>
          <w:color w:val="1B2A5B"/>
        </w:rPr>
        <w:t xml:space="preserve">OCR avanzato</w:t>
      </w:r>
      <w:r>
        <w:t xml:space="preserve"> — Scansione e indicizzazione automatica di documenti cartacei.</w:t>
      </w:r>
    </w:p>
    <w:p>
      <w:pPr>
        <w:spacing w:after="100"/>
        <w:ind w:left="360"/>
      </w:pPr>
      <w:r>
        <w:rPr>
          <w:color w:val="8B1A1A"/>
          <w:sz w:val="18"/>
          <w:szCs w:val="18"/>
        </w:rPr>
        <w:t xml:space="preserve">■ </w:t>
      </w:r>
      <w:r>
        <w:rPr>
          <w:b/>
          <w:bCs/>
          <w:color w:val="1B2A5B"/>
        </w:rPr>
        <w:t xml:space="preserve">Copertura multi-giurisdizione</w:t>
      </w:r>
      <w:r>
        <w:t xml:space="preserve"> — Svizzera, e presto Francia, Belgio, Germania, Spagna, Regno Unito, USA, Canada, Brasile e UE.</w:t>
      </w:r>
    </w:p>
    <w:p>
      <w:pPr>
        <w:spacing w:after="100"/>
        <w:ind w:left="360"/>
      </w:pPr>
      <w:r>
        <w:rPr>
          <w:color w:val="8B1A1A"/>
          <w:sz w:val="18"/>
          <w:szCs w:val="18"/>
        </w:rPr>
        <w:t xml:space="preserve">■ </w:t>
      </w:r>
      <w:r>
        <w:rPr>
          <w:b/>
          <w:bCs/>
          <w:color w:val="1B2A5B"/>
        </w:rPr>
        <w:t xml:space="preserve">Multilingue</w:t>
      </w:r>
      <w:r>
        <w:t xml:space="preserve"> — Interfaccia disponibile in 7 lingue: francese, tedesco, inglese, italiano, spagnolo, portoghese e olandese.</w:t>
      </w:r>
    </w:p>
    <w:p>
      <w:pPr>
        <w:pStyle w:val="Heading2"/>
      </w:pPr>
      <w:r>
        <w:t xml:space="preserve">Un modello accessibile a tutti i profili</w:t>
      </w:r>
    </w:p>
    <w:p>
      <w:r>
        <w:rPr>
          <w:b w:val="false"/>
          <w:bCs w:val="false"/>
        </w:rPr>
        <w:t xml:space="preserve">LawCodex si rivolge sia ai </w:t>
      </w:r>
      <w:r>
        <w:rPr>
          <w:b/>
          <w:bCs/>
        </w:rPr>
        <w:t xml:space="preserve">privati</w:t>
      </w:r>
      <w:r>
        <w:rPr>
          <w:b w:val="false"/>
          <w:bCs w:val="false"/>
        </w:rPr>
        <w:t xml:space="preserve"> che affrontano procedimenti legali sia agli </w:t>
      </w:r>
      <w:r>
        <w:rPr>
          <w:b/>
          <w:bCs/>
        </w:rPr>
        <w:t xml:space="preserve">avvocati</w:t>
      </w:r>
      <w:r>
        <w:rPr>
          <w:b w:val="false"/>
          <w:bCs w:val="false"/>
        </w:rPr>
        <w:t xml:space="preserve">, </w:t>
      </w:r>
      <w:r>
        <w:rPr>
          <w:b/>
          <w:bCs/>
        </w:rPr>
        <w:t xml:space="preserve">giuristi d'impresa</w:t>
      </w:r>
      <w:r>
        <w:rPr>
          <w:b w:val="false"/>
          <w:bCs w:val="false"/>
        </w:rPr>
        <w:t xml:space="preserve">, </w:t>
      </w:r>
      <w:r>
        <w:rPr>
          <w:b/>
          <w:bCs/>
        </w:rPr>
        <w:t xml:space="preserve">studenti di giurisprudenza</w:t>
      </w:r>
      <w:r>
        <w:rPr>
          <w:b w:val="false"/>
          <w:bCs w:val="false"/>
        </w:rPr>
        <w:t xml:space="preserve"> e </w:t>
      </w:r>
      <w:r>
        <w:rPr>
          <w:b/>
          <w:bCs/>
        </w:rPr>
        <w:t xml:space="preserve">imprenditori</w:t>
      </w:r>
      <w:r>
        <w:rPr>
          <w:b w:val="false"/>
          <w:bCs w:val="false"/>
        </w:rPr>
        <w:t xml:space="preserve">.</w:t>
      </w:r>
    </w:p>
    <w:tbl>
      <w:tblPr>
        <w:tblW w:type="pct" w:w="100%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100"/>
        <w:gridCol w:w="100"/>
        <w:gridCol w:w="100"/>
      </w:tblGrid>
      <w:tr>
        <w:trPr>
          <w:tblHeader/>
        </w:trPr>
        <w:tc>
          <w:tcPr>
            <w:shd w:color="1B2A5B" w:val="solid"/>
          </w:tcPr>
          <w:p>
            <w:r>
              <w:rPr>
                <w:b/>
                <w:bCs/>
                <w:color w:val="FFFFFF"/>
                <w:sz w:val="20"/>
                <w:szCs w:val="20"/>
              </w:rPr>
              <w:t xml:space="preserve">Piano</w:t>
            </w:r>
          </w:p>
        </w:tc>
        <w:tc>
          <w:tcPr>
            <w:shd w:color="1B2A5B" w:val="solid"/>
          </w:tcPr>
          <w:p>
            <w:r>
              <w:rPr>
                <w:b/>
                <w:bCs/>
                <w:color w:val="FFFFFF"/>
                <w:sz w:val="20"/>
                <w:szCs w:val="20"/>
              </w:rPr>
              <w:t xml:space="preserve">Pubblico target</w:t>
            </w:r>
          </w:p>
        </w:tc>
        <w:tc>
          <w:tcPr>
            <w:shd w:color="1B2A5B" w:val="solid"/>
          </w:tcPr>
          <w:p>
            <w:r>
              <w:rPr>
                <w:b/>
                <w:bCs/>
                <w:color w:val="FFFFFF"/>
                <w:sz w:val="20"/>
                <w:szCs w:val="20"/>
              </w:rPr>
              <w:t xml:space="preserve">Caratteristiche principali</w:t>
            </w:r>
          </w:p>
        </w:tc>
      </w:tr>
      <w:tr>
        <w:tc>
          <w:p>
            <w:r>
              <w:rPr>
                <w:b/>
                <w:bCs/>
                <w:color w:val="1B2A5B"/>
                <w:sz w:val="20"/>
                <w:szCs w:val="20"/>
              </w:rPr>
              <w:t xml:space="preserve">Privato</w:t>
            </w:r>
          </w:p>
        </w:tc>
        <w:tc>
          <w:p>
            <w:r>
              <w:rPr>
                <w:b w:val="false"/>
                <w:bCs w:val="false"/>
                <w:color w:val="374151"/>
                <w:sz w:val="20"/>
                <w:szCs w:val="20"/>
              </w:rPr>
              <w:t xml:space="preserve">Cittadini, studenti</w:t>
            </w:r>
          </w:p>
        </w:tc>
        <w:tc>
          <w:p>
            <w:r>
              <w:rPr>
                <w:b w:val="false"/>
                <w:bCs w:val="false"/>
                <w:color w:val="374151"/>
                <w:sz w:val="20"/>
                <w:szCs w:val="20"/>
              </w:rPr>
              <w:t xml:space="preserve">Ricerca giuridica IA, analisi strategica, generazione documenti, GED personale</w:t>
            </w:r>
          </w:p>
        </w:tc>
      </w:tr>
      <w:tr>
        <w:tc>
          <w:tcPr>
            <w:shd w:color="F9FAFB" w:val="solid"/>
          </w:tcPr>
          <w:p>
            <w:r>
              <w:rPr>
                <w:b/>
                <w:bCs/>
                <w:color w:val="1B2A5B"/>
                <w:sz w:val="20"/>
                <w:szCs w:val="20"/>
              </w:rPr>
              <w:t xml:space="preserve">Professionista</w:t>
            </w:r>
          </w:p>
        </w:tc>
        <w:tc>
          <w:tcPr>
            <w:shd w:color="F9FAFB" w:val="solid"/>
          </w:tcPr>
          <w:p>
            <w:r>
              <w:rPr>
                <w:b w:val="false"/>
                <w:bCs w:val="false"/>
                <w:color w:val="374151"/>
                <w:sz w:val="20"/>
                <w:szCs w:val="20"/>
              </w:rPr>
              <w:t xml:space="preserve">Avvocati, giuristi</w:t>
            </w:r>
          </w:p>
        </w:tc>
        <w:tc>
          <w:tcPr>
            <w:shd w:color="F9FAFB" w:val="solid"/>
          </w:tcPr>
          <w:p>
            <w:r>
              <w:rPr>
                <w:b w:val="false"/>
                <w:bCs w:val="false"/>
                <w:color w:val="374151"/>
                <w:sz w:val="20"/>
                <w:szCs w:val="20"/>
              </w:rPr>
              <w:t xml:space="preserve">+ CRM integrato, gestione mandati, agenda con prenotazione online, fatturazione, monitoraggio tempo</w:t>
            </w:r>
          </w:p>
        </w:tc>
      </w:tr>
      <w:tr>
        <w:tc>
          <w:p>
            <w:r>
              <w:rPr>
                <w:b/>
                <w:bCs/>
                <w:color w:val="1B2A5B"/>
                <w:sz w:val="20"/>
                <w:szCs w:val="20"/>
              </w:rPr>
              <w:t xml:space="preserve">Impresa</w:t>
            </w:r>
          </w:p>
        </w:tc>
        <w:tc>
          <w:p>
            <w:r>
              <w:rPr>
                <w:b w:val="false"/>
                <w:bCs w:val="false"/>
                <w:color w:val="374151"/>
                <w:sz w:val="20"/>
                <w:szCs w:val="20"/>
              </w:rPr>
              <w:t xml:space="preserve">Studi legali, società</w:t>
            </w:r>
          </w:p>
        </w:tc>
        <w:tc>
          <w:p>
            <w:r>
              <w:rPr>
                <w:b w:val="false"/>
                <w:bCs w:val="false"/>
                <w:color w:val="374151"/>
                <w:sz w:val="20"/>
                <w:szCs w:val="20"/>
              </w:rPr>
              <w:t xml:space="preserve">+ Multi-utente, multi-sede, gestione del marchio, integrazioni di terze parti, analytics avanzate</w:t>
            </w:r>
          </w:p>
        </w:tc>
      </w:tr>
    </w:tbl>
    <w:p>
      <w:pPr>
        <w:pStyle w:val="Heading2"/>
        <w:spacing w:before="300"/>
      </w:pPr>
      <w:r>
        <w:t xml:space="preserve">La Svizzera come punto di partenza, l'Europa come orizzonte</w:t>
      </w:r>
    </w:p>
    <w:p>
      <w:r>
        <w:t xml:space="preserve">Con sede in Svizzera, LawCodex beneficia di un'integrazione nativa con le fonti giuridiche federali svizzere (Fedlex, giurisprudenza del Tribunale federale) e persegue una strategia di espansione europea. La piattaforma ha già annunciato la sua intenzione di stabilire </w:t>
      </w:r>
      <w:r>
        <w:rPr>
          <w:b/>
          <w:bCs/>
        </w:rPr>
        <w:t xml:space="preserve">partnership strategiche con più di 10 studi legali svizzeri</w:t>
      </w:r>
      <w:r>
        <w:t xml:space="preserve"> e sta attualmente conducendo una </w:t>
      </w:r>
      <w:r>
        <w:rPr>
          <w:b/>
          <w:bCs/>
        </w:rPr>
        <w:t xml:space="preserve">raccolta fondi di 500.000 CHF</w:t>
      </w:r>
      <w:r>
        <w:t xml:space="preserve"> per accelerare il suo sviluppo.</w:t>
      </w:r>
    </w:p>
    <w:p>
      <w:pPr>
        <w:pStyle w:val="Heading2"/>
      </w:pPr>
      <w:r>
        <w:t xml:space="preserve">Cifre chiave</w:t>
      </w:r>
    </w:p>
    <w:p>
      <w:pPr>
        <w:spacing w:after="80"/>
        <w:ind w:left="360"/>
      </w:pPr>
      <w:r>
        <w:rPr>
          <w:rFonts w:ascii="Georgia" w:cs="Georgia" w:eastAsia="Georgia" w:hAnsi="Georgia"/>
          <w:b/>
          <w:bCs/>
          <w:color w:val="8B1A1A"/>
          <w:sz w:val="24"/>
          <w:szCs w:val="24"/>
        </w:rPr>
        <w:t xml:space="preserve">10+</w:t>
      </w:r>
      <w:r>
        <w:rPr>
          <w:color w:val="6B7280"/>
        </w:rPr>
        <w:t xml:space="preserve">  professionisti nel team</w:t>
      </w:r>
    </w:p>
    <w:p>
      <w:pPr>
        <w:spacing w:after="80"/>
        <w:ind w:left="360"/>
      </w:pPr>
      <w:r>
        <w:rPr>
          <w:rFonts w:ascii="Georgia" w:cs="Georgia" w:eastAsia="Georgia" w:hAnsi="Georgia"/>
          <w:b/>
          <w:bCs/>
          <w:color w:val="8B1A1A"/>
          <w:sz w:val="24"/>
          <w:szCs w:val="24"/>
        </w:rPr>
        <w:t xml:space="preserve">200+</w:t>
      </w:r>
      <w:r>
        <w:rPr>
          <w:color w:val="6B7280"/>
        </w:rPr>
        <w:t xml:space="preserve">  modelli di documenti giuridici</w:t>
      </w:r>
    </w:p>
    <w:p>
      <w:pPr>
        <w:spacing w:after="80"/>
        <w:ind w:left="360"/>
      </w:pPr>
      <w:r>
        <w:rPr>
          <w:rFonts w:ascii="Georgia" w:cs="Georgia" w:eastAsia="Georgia" w:hAnsi="Georgia"/>
          <w:b/>
          <w:bCs/>
          <w:color w:val="8B1A1A"/>
          <w:sz w:val="24"/>
          <w:szCs w:val="24"/>
        </w:rPr>
        <w:t xml:space="preserve">11</w:t>
      </w:r>
      <w:r>
        <w:rPr>
          <w:color w:val="6B7280"/>
        </w:rPr>
        <w:t xml:space="preserve">  giurisdizioni coperte</w:t>
      </w:r>
    </w:p>
    <w:p>
      <w:pPr>
        <w:spacing w:after="80"/>
        <w:ind w:left="360"/>
      </w:pPr>
      <w:r>
        <w:rPr>
          <w:rFonts w:ascii="Georgia" w:cs="Georgia" w:eastAsia="Georgia" w:hAnsi="Georgia"/>
          <w:b/>
          <w:bCs/>
          <w:color w:val="8B1A1A"/>
          <w:sz w:val="24"/>
          <w:szCs w:val="24"/>
        </w:rPr>
        <w:t xml:space="preserve">7</w:t>
      </w:r>
      <w:r>
        <w:rPr>
          <w:color w:val="6B7280"/>
        </w:rPr>
        <w:t xml:space="preserve">  lingue dell'interfaccia</w:t>
      </w:r>
    </w:p>
    <w:p>
      <w:pPr>
        <w:spacing w:after="80"/>
        <w:ind w:left="360"/>
      </w:pPr>
      <w:r>
        <w:rPr>
          <w:rFonts w:ascii="Georgia" w:cs="Georgia" w:eastAsia="Georgia" w:hAnsi="Georgia"/>
          <w:b/>
          <w:bCs/>
          <w:color w:val="8B1A1A"/>
          <w:sz w:val="24"/>
          <w:szCs w:val="24"/>
        </w:rPr>
        <w:t xml:space="preserve">10h/g, 5g/7</w:t>
      </w:r>
      <w:r>
        <w:rPr>
          <w:color w:val="6B7280"/>
        </w:rPr>
        <w:t xml:space="preserve">  Supporto</w:t>
      </w:r>
    </w:p>
    <w:p>
      <w:pPr>
        <w:shd w:color="1B2A5B" w:val="solid"/>
        <w:spacing w:before="400" w:after="100"/>
        <w:jc w:val="center"/>
      </w:pPr>
      <w:r>
        <w:rPr>
          <w:rFonts w:ascii="Georgia" w:cs="Georgia" w:eastAsia="Georgia" w:hAnsi="Georgia"/>
          <w:b/>
          <w:bCs/>
          <w:color w:val="FFFFFF"/>
          <w:sz w:val="28"/>
          <w:szCs w:val="28"/>
        </w:rPr>
        <w:t xml:space="preserve">
Data di lancio</w:t>
      </w:r>
    </w:p>
    <w:p>
      <w:pPr>
        <w:shd w:color="1B2A5B" w:val="solid"/>
        <w:jc w:val="center"/>
      </w:pPr>
      <w:r>
        <w:rPr>
          <w:b/>
          <w:bCs/>
          <w:color w:val="FBBF24"/>
          <w:sz w:val="26"/>
          <w:szCs w:val="26"/>
        </w:rPr>
        <w:t xml:space="preserve">Mercoledì 5 marzo 2026 alle 12:30 (CET)</w:t>
      </w:r>
    </w:p>
    <w:p>
      <w:pPr>
        <w:shd w:color="1B2A5B" w:val="solid"/>
        <w:spacing w:after="300"/>
        <w:jc w:val="center"/>
      </w:pPr>
      <w:r>
        <w:rPr>
          <w:color w:val="93C5FD"/>
          <w:sz w:val="22"/>
          <w:szCs w:val="22"/>
        </w:rPr>
        <w:t xml:space="preserve">https://lawcodex.com
</w:t>
      </w:r>
    </w:p>
    <w:p>
      <w:pPr>
        <w:pStyle w:val="Heading2"/>
      </w:pPr>
      <w:r>
        <w:t xml:space="preserve">A proposito di LawCodex</w:t>
      </w:r>
    </w:p>
    <w:p>
      <w:pPr>
        <w:pBdr>
          <w:top w:val="single" w:color="E5E7EB" w:sz="1"/>
          <w:bottom w:val="single" w:color="E5E7EB" w:sz="1"/>
          <w:left w:val="single" w:color="E5E7EB" w:sz="1"/>
          <w:right w:val="single" w:color="E5E7EB" w:sz="1"/>
        </w:pBdr>
        <w:shd w:color="FAFAFA" w:val="solid"/>
      </w:pPr>
      <w:r>
        <w:t xml:space="preserve">LawCodex è una piattaforma SaaS svizzera di ricerca e analisi giuridica alimentata dall'intelligenza artificiale. Fondata tra il 2022 e il 2025 da Steven Hori, l'azienda persegue una missione chiara: rendere il diritto comprensibile, accessibile e attuabile per tutti. Combinando ricerca semantica, IA predittiva, elaborazione del linguaggio naturale e gestione documentale avanzata, LawCodex trasforma il modo in cui privati e professionisti interagiscono con il diritto.</w:t>
      </w:r>
    </w:p>
    <w:p>
      <w:pPr>
        <w:spacing w:after="80"/>
      </w:pPr>
      <w:r>
        <w:rPr>
          <w:b/>
          <w:bCs/>
          <w:color w:val="1B2A5B"/>
        </w:rPr>
        <w:t xml:space="preserve">Sito web: </w:t>
      </w:r>
      <w:hyperlink w:history="1" r:id="rId9mi9dagf7z6fslk0bfirj">
        <w:r>
          <w:rPr>
            <w:color w:val="8B1A1A"/>
            <w:u w:val="single"/>
          </w:rPr>
          <w:t xml:space="preserve">lawcodex.com</w:t>
        </w:r>
      </w:hyperlink>
      <w:r>
        <w:rPr>
          <w:b/>
          <w:bCs/>
          <w:color w:val="1B2A5B"/>
        </w:rPr>
        <w:t xml:space="preserve">   |   Area stampa: </w:t>
      </w:r>
      <w:hyperlink w:history="1" r:id="rIdlglys0vpzbvdes2yso7_k">
        <w:r>
          <w:rPr>
            <w:color w:val="8B1A1A"/>
            <w:u w:val="single"/>
          </w:rPr>
          <w:t xml:space="preserve">lawcodexpress.com</w:t>
        </w:r>
      </w:hyperlink>
    </w:p>
    <w:p>
      <w:pPr>
        <w:spacing w:after="80"/>
      </w:pPr>
      <w:r>
        <w:rPr>
          <w:b/>
          <w:bCs/>
          <w:color w:val="1B2A5B"/>
        </w:rPr>
        <w:t xml:space="preserve">YouTube: </w:t>
      </w:r>
      <w:hyperlink w:history="1" r:id="rIdza5e8ua-5q6wvw7qcq7av">
        <w:r>
          <w:rPr>
            <w:color w:val="8B1A1A"/>
            <w:u w:val="single"/>
          </w:rPr>
          <w:t xml:space="preserve">@lawcodex_ai</w:t>
        </w:r>
      </w:hyperlink>
      <w:r>
        <w:rPr>
          <w:b/>
          <w:bCs/>
          <w:color w:val="1B2A5B"/>
        </w:rPr>
        <w:t xml:space="preserve">   |   Instagram: </w:t>
      </w:r>
      <w:hyperlink w:history="1" r:id="rIdzlnvqkc8gegabjpdop4u4">
        <w:r>
          <w:rPr>
            <w:color w:val="8B1A1A"/>
            <w:u w:val="single"/>
          </w:rPr>
          <w:t xml:space="preserve">@lawCodex</w:t>
        </w:r>
      </w:hyperlink>
    </w:p>
    <w:p>
      <w:pPr>
        <w:pStyle w:val="Heading2"/>
      </w:pPr>
      <w:r>
        <w:t xml:space="preserve">Contatto stampa</w:t>
      </w:r>
    </w:p>
    <w:p>
      <w:pPr>
        <w:shd w:color="F3F4F6" w:val="solid"/>
        <w:spacing w:after="60"/>
      </w:pPr>
      <w:r>
        <w:rPr>
          <w:b/>
          <w:bCs/>
          <w:color w:val="1B2A5B"/>
        </w:rPr>
        <w:t xml:space="preserve">Nome: </w:t>
      </w:r>
      <w:r>
        <w:t xml:space="preserve">Emily Hornsby-Martinez</w:t>
      </w:r>
    </w:p>
    <w:p>
      <w:pPr>
        <w:shd w:color="F3F4F6" w:val="solid"/>
        <w:spacing w:after="60"/>
      </w:pPr>
      <w:r>
        <w:rPr>
          <w:b/>
          <w:bCs/>
          <w:color w:val="1B2A5B"/>
        </w:rPr>
        <w:t xml:space="preserve">Ruolo: </w:t>
      </w:r>
      <w:r>
        <w:t xml:space="preserve">Co-founder &amp; CEO</w:t>
      </w:r>
    </w:p>
    <w:p>
      <w:pPr>
        <w:shd w:color="F3F4F6" w:val="solid"/>
        <w:spacing w:after="60"/>
      </w:pPr>
      <w:r>
        <w:rPr>
          <w:b/>
          <w:bCs/>
          <w:color w:val="1B2A5B"/>
        </w:rPr>
        <w:t xml:space="preserve">Email: </w:t>
      </w:r>
      <w:hyperlink w:history="1" r:id="rIdpcuw6odoowt2gtle45kko">
        <w:r>
          <w:rPr>
            <w:color w:val="8B1A1A"/>
            <w:u w:val="single"/>
          </w:rPr>
          <w:t xml:space="preserve">offices@lawcodex.com</w:t>
        </w:r>
      </w:hyperlink>
    </w:p>
    <w:p>
      <w:pPr>
        <w:shd w:color="F3F4F6" w:val="solid"/>
        <w:spacing w:after="60"/>
      </w:pPr>
      <w:r>
        <w:rPr>
          <w:b/>
          <w:bCs/>
          <w:color w:val="1B2A5B"/>
        </w:rPr>
        <w:t xml:space="preserve">Telefono: </w:t>
      </w:r>
      <w:r>
        <w:t xml:space="preserve">+41 21 519 23 63</w:t>
      </w:r>
    </w:p>
    <w:p>
      <w:pPr>
        <w:shd w:color="F3F4F6" w:val="solid"/>
        <w:spacing w:after="300"/>
      </w:pPr>
      <w:r>
        <w:rPr>
          <w:b/>
          <w:bCs/>
          <w:color w:val="1B2A5B"/>
        </w:rPr>
        <w:t xml:space="preserve">Sito: </w:t>
      </w:r>
      <w:hyperlink w:history="1" r:id="rIdjog7qtktoxjuov1h2l7pt">
        <w:r>
          <w:rPr>
            <w:color w:val="8B1A1A"/>
            <w:u w:val="single"/>
          </w:rPr>
          <w:t xml:space="preserve">lawcodex.com/press</w:t>
        </w:r>
      </w:hyperlink>
    </w:p>
    <w:p>
      <w:pPr>
        <w:spacing w:before="200"/>
        <w:jc w:val="center"/>
      </w:pPr>
      <w:r>
        <w:rPr>
          <w:i/>
          <w:iCs/>
          <w:color w:val="6B7280"/>
          <w:sz w:val="20"/>
          <w:szCs w:val="20"/>
        </w:rPr>
        <w:t xml:space="preserve">Immagini ad alta risoluzione, loghi e kit media disponibili su richiesta o all'indirizzo:</w:t>
      </w:r>
    </w:p>
    <w:p>
      <w:pPr>
        <w:jc w:val="center"/>
      </w:pPr>
      <w:hyperlink w:history="1" r:id="rIdh9u8p0vr31g7qjhsiljjx">
        <w:r>
          <w:rPr>
            <w:color w:val="8B1A1A"/>
            <w:sz w:val="20"/>
            <w:szCs w:val="20"/>
            <w:u w:val="single"/>
          </w:rPr>
          <w:t xml:space="preserve">https://lawcodexpress.com/kit-media/</w:t>
        </w:r>
      </w:hyperlink>
    </w:p>
    <w:p>
      <w:pPr>
        <w:spacing w:before="300"/>
        <w:jc w:val="center"/>
      </w:pPr>
      <w:r>
        <w:rPr>
          <w:color w:val="6B7280"/>
          <w:sz w:val="18"/>
          <w:szCs w:val="18"/>
        </w:rPr>
        <w:t xml:space="preserve">© 2026 LawCodex — Decode Law &amp; Deploy Strategy</w:t>
      </w:r>
    </w:p>
    <w:sectPr>
      <w:pgSz w:w="11906" w:h="16838" w:orient="portrait"/>
      <w:pgMar w:top="1000" w:right="1200" w:bottom="800" w:left="1200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cs="Calibri" w:eastAsia="Calibri" w:hAnsi="Calibri"/>
        <w:color w:val="374151"/>
        <w:sz w:val="22"/>
        <w:szCs w:val="22"/>
      </w:rPr>
    </w:rPrDefault>
    <w:pPrDefault>
      <w:pPr>
        <w:spacing w:after="160" w:line="320"/>
      </w:pPr>
    </w:pPrDefault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pPr>
      <w:pBdr>
        <w:bottom w:val="single" w:color="8B1A1A" w:sz="6"/>
      </w:pBdr>
      <w:spacing w:before="360" w:after="200"/>
    </w:pPr>
    <w:rPr>
      <w:rFonts w:ascii="Georgia" w:cs="Georgia" w:eastAsia="Georgia" w:hAnsi="Georgia"/>
      <w:b/>
      <w:bCs/>
      <w:color w:val="1B2A5B"/>
      <w:sz w:val="36"/>
      <w:szCs w:val="36"/>
    </w:rPr>
  </w:style>
  <w:style w:type="paragraph" w:styleId="Heading2">
    <w:name w:val="Heading 2"/>
    <w:basedOn w:val="Normal"/>
    <w:next w:val="Normal"/>
    <w:qFormat/>
    <w:pPr>
      <w:pBdr>
        <w:bottom w:val="single" w:color="8B1A1A" w:sz="4"/>
      </w:pBdr>
      <w:spacing w:before="320" w:after="160"/>
    </w:pPr>
    <w:rPr>
      <w:rFonts w:ascii="Georgia" w:cs="Georgia" w:eastAsia="Georgia" w:hAnsi="Georgia"/>
      <w:b/>
      <w:bCs/>
      <w:color w:val="1B2A5B"/>
      <w:sz w:val="28"/>
      <w:szCs w:val="28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color w:val="0563C1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comments.xml.rels><?xml version="1.0" encoding="UTF-8"?><Relationships xmlns="http://schemas.openxmlformats.org/package/2006/relationships"/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Relationship Id="rId9mi9dagf7z6fslk0bfirj" Type="http://schemas.openxmlformats.org/officeDocument/2006/relationships/hyperlink" Target="https://lawcodex.com" TargetMode="External"/><Relationship Id="rIdlglys0vpzbvdes2yso7_k" Type="http://schemas.openxmlformats.org/officeDocument/2006/relationships/hyperlink" Target="https://lawcodexpress.com" TargetMode="External"/><Relationship Id="rIdza5e8ua-5q6wvw7qcq7av" Type="http://schemas.openxmlformats.org/officeDocument/2006/relationships/hyperlink" Target="https://www.youtube.com/@lawcodex_ai" TargetMode="External"/><Relationship Id="rIdzlnvqkc8gegabjpdop4u4" Type="http://schemas.openxmlformats.org/officeDocument/2006/relationships/hyperlink" Target="https://www.instagram.com/lawCodex" TargetMode="External"/><Relationship Id="rIdpcuw6odoowt2gtle45kko" Type="http://schemas.openxmlformats.org/officeDocument/2006/relationships/hyperlink" Target="mailto:offices@lawcodex.com" TargetMode="External"/><Relationship Id="rIdjog7qtktoxjuov1h2l7pt" Type="http://schemas.openxmlformats.org/officeDocument/2006/relationships/hyperlink" Target="https://lawcodex.com/press" TargetMode="External"/><Relationship Id="rIdh9u8p0vr31g7qjhsiljjx" Type="http://schemas.openxmlformats.org/officeDocument/2006/relationships/hyperlink" Target="https://lawcodexpress.com/kit-media/" TargetMode="External"/><Relationship Id="rId6" Type="http://schemas.openxmlformats.org/officeDocument/2006/relationships/image" Target="media/51c62ce8e0574814de4a013ff887ad8c70d34518.png"/><Relationship Id="rId14" Type="http://schemas.openxmlformats.org/officeDocument/2006/relationships/fontTable" Target="fontTable.xml"/></Relationships>
</file>

<file path=word/_rels/fontTable.xml.rels><?xml version="1.0" encoding="UTF-8"?><Relationships xmlns="http://schemas.openxmlformats.org/package/2006/relationships"/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2026-03-01T14:21:40.622Z</dcterms:created>
  <dcterms:modified xsi:type="dcterms:W3CDTF">2026-03-01T14:21:40.622Z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